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bookmarkStart w:colFirst="0" w:colLast="0" w:name="_heading=h.gjdgxs" w:id="0"/>
      <w:bookmarkEnd w:id="0"/>
      <w:r w:rsidDel="00000000" w:rsidR="00000000" w:rsidRPr="00000000">
        <w:rPr>
          <w:b w:val="1"/>
          <w:sz w:val="28"/>
          <w:szCs w:val="28"/>
          <w:rtl w:val="0"/>
        </w:rPr>
        <w:t xml:space="preserve">Matrix Notes Explained</w:t>
      </w:r>
    </w:p>
    <w:p w:rsidR="00000000" w:rsidDel="00000000" w:rsidP="00000000" w:rsidRDefault="00000000" w:rsidRPr="00000000" w14:paraId="00000002">
      <w:pPr>
        <w:rPr/>
      </w:pPr>
      <w:r w:rsidDel="00000000" w:rsidR="00000000" w:rsidRPr="00000000">
        <w:rPr>
          <w:rtl w:val="0"/>
        </w:rPr>
        <w:t xml:space="preserve">You may have a notetaking and study system you really like and that has helped you earn the grades you want in college. If so, keep using it! However, you might appreciate seeing an example of a study plan that can help you study more quickly and increase how much you remember. This handout has two purposes:</w:t>
      </w:r>
    </w:p>
    <w:p w:rsidR="00000000" w:rsidDel="00000000" w:rsidP="00000000" w:rsidRDefault="00000000" w:rsidRPr="00000000" w14:paraId="0000000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explain the three-step study plan.</w:t>
      </w:r>
    </w:p>
    <w:p w:rsidR="00000000" w:rsidDel="00000000" w:rsidP="00000000" w:rsidRDefault="00000000" w:rsidRPr="00000000" w14:paraId="0000000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show you how to use the matrix notes—study aids that your instructor has provided for you for this class.</w:t>
      </w:r>
    </w:p>
    <w:p w:rsidR="00000000" w:rsidDel="00000000" w:rsidP="00000000" w:rsidRDefault="00000000" w:rsidRPr="00000000" w14:paraId="00000005">
      <w:pPr>
        <w:rPr>
          <w:b w:val="1"/>
        </w:rPr>
      </w:pPr>
      <w:r w:rsidDel="00000000" w:rsidR="00000000" w:rsidRPr="00000000">
        <w:rPr>
          <w:b w:val="1"/>
          <w:rtl w:val="0"/>
        </w:rPr>
        <w:t xml:space="preserve">Three Step Study Plan (or “The chocolate Chip Cookie Reading Analogy”)</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69657</wp:posOffset>
            </wp:positionV>
            <wp:extent cx="1859280" cy="1109345"/>
            <wp:effectExtent b="0" l="0" r="0" t="0"/>
            <wp:wrapSquare wrapText="bothSides" distB="0" distT="0" distL="114300" distR="114300"/>
            <wp:docPr id="7"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1859280" cy="1109345"/>
                    </a:xfrm>
                    <a:prstGeom prst="rect"/>
                    <a:ln/>
                  </pic:spPr>
                </pic:pic>
              </a:graphicData>
            </a:graphic>
          </wp:anchor>
        </w:drawing>
      </w:r>
    </w:p>
    <w:p w:rsidR="00000000" w:rsidDel="00000000" w:rsidP="00000000" w:rsidRDefault="00000000" w:rsidRPr="00000000" w14:paraId="00000006">
      <w:pPr>
        <w:rPr>
          <w:b w:val="1"/>
        </w:rPr>
      </w:pPr>
      <w:r w:rsidDel="00000000" w:rsidR="00000000" w:rsidRPr="00000000">
        <w:rPr>
          <w:b w:val="1"/>
          <w:rtl w:val="0"/>
        </w:rPr>
        <w:t xml:space="preserve">Step 1: Using Structure to Help You Establish Purpose</w:t>
      </w:r>
    </w:p>
    <w:p w:rsidR="00000000" w:rsidDel="00000000" w:rsidP="00000000" w:rsidRDefault="00000000" w:rsidRPr="00000000" w14:paraId="00000007">
      <w:pPr>
        <w:rPr/>
      </w:pPr>
      <w:r w:rsidDel="00000000" w:rsidR="00000000" w:rsidRPr="00000000">
        <w:rPr>
          <w:rtl w:val="0"/>
        </w:rPr>
        <w:t xml:space="preserve">Did you know that everything you need to know about reading textbooks you learned from baking chocolate chip cookies? You need to read textbooks in the same “order” you mix ingredients when you bake cookies. </w:t>
      </w:r>
    </w:p>
    <w:p w:rsidR="00000000" w:rsidDel="00000000" w:rsidP="00000000" w:rsidRDefault="00000000" w:rsidRPr="00000000" w14:paraId="00000008">
      <w:pPr>
        <w:rPr/>
      </w:pPr>
      <w:r w:rsidDel="00000000" w:rsidR="00000000" w:rsidRPr="00000000">
        <w:rPr>
          <w:rtl w:val="0"/>
        </w:rPr>
        <w:t xml:space="preserve">Bakers put dry ingredients like flour, baking soda, etc. in the bowl first. These ingredients give cookies structure so they don’t spread out all over the pan.</w:t>
      </w:r>
    </w:p>
    <w:p w:rsidR="00000000" w:rsidDel="00000000" w:rsidP="00000000" w:rsidRDefault="00000000" w:rsidRPr="00000000" w14:paraId="00000009">
      <w:pPr>
        <w:rPr/>
      </w:pPr>
      <w:r w:rsidDel="00000000" w:rsidR="00000000" w:rsidRPr="00000000">
        <w:rPr>
          <w:rtl w:val="0"/>
        </w:rPr>
        <w:t xml:space="preserve">The “flour” and “soda” in your textbooks are headings and subheadings. They direct your attention and keep your mind from wandering when you read. Studies show that students who earn A’s and B’s notice the structure of textbook chapters before they pay attention to anything else. D and F students tend to notice terms before anything else. </w:t>
      </w:r>
    </w:p>
    <w:p w:rsidR="00000000" w:rsidDel="00000000" w:rsidP="00000000" w:rsidRDefault="00000000" w:rsidRPr="00000000" w14:paraId="0000000A">
      <w:pPr>
        <w:rPr/>
      </w:pPr>
      <w:r w:rsidDel="00000000" w:rsidR="00000000" w:rsidRPr="00000000">
        <w:rPr>
          <w:rtl w:val="0"/>
        </w:rPr>
        <w:t xml:space="preserve">When we talk about the “structure” of a textbook chapter we mean noticing the purpose of the chapter and each section within it. The best way for students to get a good idea of a textbook chapter’s purpose is to carefully read the headings and subheadings BEFORE reading the chapter. After reading the headings and subheadings, students should ask themselves questions about what the chapter and the chapter sections are </w:t>
      </w:r>
      <w:r w:rsidDel="00000000" w:rsidR="00000000" w:rsidRPr="00000000">
        <w:rPr>
          <w:i w:val="1"/>
          <w:rtl w:val="0"/>
        </w:rPr>
        <w:t xml:space="preserve">doing</w:t>
      </w:r>
      <w:r w:rsidDel="00000000" w:rsidR="00000000" w:rsidRPr="00000000">
        <w:rPr>
          <w:rtl w:val="0"/>
        </w:rPr>
        <w:t xml:space="preserve">. Put another way, what should you know or be able to do once you are done reading that section?</w:t>
      </w:r>
    </w:p>
    <w:p w:rsidR="00000000" w:rsidDel="00000000" w:rsidP="00000000" w:rsidRDefault="00000000" w:rsidRPr="00000000" w14:paraId="0000000B">
      <w:pPr>
        <w:rPr/>
      </w:pPr>
      <w:r w:rsidDel="00000000" w:rsidR="00000000" w:rsidRPr="00000000">
        <w:rPr>
          <w:rtl w:val="0"/>
        </w:rPr>
        <w:t xml:space="preserve">Studies show that student who take the time to prepare to read remember more than students who just jump into reading. You already know that preparation improves performance. If you have a job interview and spend time imagining what questions your potential employer might ask, you will provide better answers. If you play a team sport your coach might show you videos of opposing teams you will so you can strategize to be competitive. If you spend time preparing yourself to read, you will read better, remember more and save yourself from having to read the chapter again.</w:t>
      </w:r>
    </w:p>
    <w:p w:rsidR="00000000" w:rsidDel="00000000" w:rsidP="00000000" w:rsidRDefault="00000000" w:rsidRPr="00000000" w14:paraId="0000000C">
      <w:pPr>
        <w:rPr/>
      </w:pPr>
      <w:r w:rsidDel="00000000" w:rsidR="00000000" w:rsidRPr="00000000">
        <w:rPr>
          <w:rtl w:val="0"/>
        </w:rPr>
        <w:t xml:space="preserve">Each section of each chapter has one or more purposes. Using headings, graphics, subheadings to determine what purpose or purposes a chapter section might have will help you read more effectively. Here are some possible purposes of textbook chapter sections:</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define a concept or an idea</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compare and contrast two or more people, things, events, ideas, places or processes</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explain a process</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explain how something works</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explain or demonstrate why something or someone is important</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provide a timeline of events that led up to something important (i.e. a war, the extinction of a species, a natural or man-made disaster, the discovery of something new, etc.)</w:t>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show differing viewpoints about one event, person or idea</w:t>
      </w:r>
    </w:p>
    <w:p w:rsidR="00000000" w:rsidDel="00000000" w:rsidP="00000000" w:rsidRDefault="00000000" w:rsidRPr="00000000" w14:paraId="00000014">
      <w:pPr>
        <w:rPr>
          <w:sz w:val="24"/>
          <w:szCs w:val="24"/>
        </w:rPr>
      </w:pPr>
      <w:r w:rsidDel="00000000" w:rsidR="00000000" w:rsidRPr="00000000">
        <w:rPr>
          <w:rtl w:val="0"/>
        </w:rPr>
        <w:t xml:space="preserve">For example, in chapter 1 of your book, the first section is called “What is Anthropology?” That section has five subsections. </w:t>
      </w:r>
      <w:r w:rsidDel="00000000" w:rsidR="00000000" w:rsidRPr="00000000">
        <w:rPr>
          <w:sz w:val="24"/>
          <w:szCs w:val="24"/>
        </w:rPr>
        <mc:AlternateContent>
          <mc:Choice Requires="wpg">
            <w:drawing>
              <wp:inline distB="0" distT="0" distL="0" distR="0">
                <wp:extent cx="5486400" cy="1494845"/>
                <wp:effectExtent b="0" l="0" r="0" t="0"/>
                <wp:docPr id="6" name=""/>
                <a:graphic>
                  <a:graphicData uri="http://schemas.microsoft.com/office/word/2010/wordprocessingGroup">
                    <wpg:wgp>
                      <wpg:cNvGrpSpPr/>
                      <wpg:grpSpPr>
                        <a:xfrm>
                          <a:off x="0" y="0"/>
                          <a:ext cx="5486400" cy="1494845"/>
                          <a:chOff x="0" y="0"/>
                          <a:chExt cx="5486400" cy="1494825"/>
                        </a:xfrm>
                      </wpg:grpSpPr>
                      <wpg:grpSp>
                        <wpg:cNvGrpSpPr/>
                        <wpg:grpSpPr>
                          <a:xfrm>
                            <a:off x="0" y="0"/>
                            <a:ext cx="5486400" cy="1494825"/>
                            <a:chOff x="0" y="0"/>
                            <a:chExt cx="5486400" cy="1494825"/>
                          </a:xfrm>
                        </wpg:grpSpPr>
                        <wps:wsp>
                          <wps:cNvSpPr/>
                          <wps:cNvPr id="3" name="Shape 3"/>
                          <wps:spPr>
                            <a:xfrm>
                              <a:off x="0" y="0"/>
                              <a:ext cx="5486400" cy="14948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2743200" y="648796"/>
                              <a:ext cx="2273085" cy="197251"/>
                            </a:xfrm>
                            <a:custGeom>
                              <a:rect b="b" l="l" r="r" t="t"/>
                              <a:pathLst>
                                <a:path extrusionOk="0" h="120000" w="120000">
                                  <a:moveTo>
                                    <a:pt x="0" y="0"/>
                                  </a:moveTo>
                                  <a:lnTo>
                                    <a:pt x="0" y="60000"/>
                                  </a:lnTo>
                                  <a:lnTo>
                                    <a:pt x="120000" y="60000"/>
                                  </a:lnTo>
                                  <a:lnTo>
                                    <a:pt x="12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5" name="Shape 5"/>
                          <wps:spPr>
                            <a:xfrm>
                              <a:off x="2743200" y="648796"/>
                              <a:ext cx="1136542" cy="197251"/>
                            </a:xfrm>
                            <a:custGeom>
                              <a:rect b="b" l="l" r="r" t="t"/>
                              <a:pathLst>
                                <a:path extrusionOk="0" h="120000" w="120000">
                                  <a:moveTo>
                                    <a:pt x="0" y="0"/>
                                  </a:moveTo>
                                  <a:lnTo>
                                    <a:pt x="0" y="60000"/>
                                  </a:lnTo>
                                  <a:lnTo>
                                    <a:pt x="120000" y="60000"/>
                                  </a:lnTo>
                                  <a:lnTo>
                                    <a:pt x="12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6" name="Shape 6"/>
                          <wps:spPr>
                            <a:xfrm>
                              <a:off x="2697480" y="648796"/>
                              <a:ext cx="91440" cy="197251"/>
                            </a:xfrm>
                            <a:custGeom>
                              <a:rect b="b" l="l" r="r" t="t"/>
                              <a:pathLst>
                                <a:path extrusionOk="0" h="120000" w="120000">
                                  <a:moveTo>
                                    <a:pt x="60000" y="0"/>
                                  </a:moveTo>
                                  <a:lnTo>
                                    <a:pt x="6000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7" name="Shape 7"/>
                          <wps:spPr>
                            <a:xfrm>
                              <a:off x="1606657" y="648796"/>
                              <a:ext cx="1136542" cy="197251"/>
                            </a:xfrm>
                            <a:custGeom>
                              <a:rect b="b" l="l" r="r" t="t"/>
                              <a:pathLst>
                                <a:path extrusionOk="0" h="120000" w="120000">
                                  <a:moveTo>
                                    <a:pt x="120000" y="0"/>
                                  </a:moveTo>
                                  <a:lnTo>
                                    <a:pt x="120000" y="60000"/>
                                  </a:lnTo>
                                  <a:lnTo>
                                    <a:pt x="0" y="60000"/>
                                  </a:lnTo>
                                  <a:lnTo>
                                    <a:pt x="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8" name="Shape 8"/>
                          <wps:spPr>
                            <a:xfrm>
                              <a:off x="470114" y="648796"/>
                              <a:ext cx="2273085" cy="197251"/>
                            </a:xfrm>
                            <a:custGeom>
                              <a:rect b="b" l="l" r="r" t="t"/>
                              <a:pathLst>
                                <a:path extrusionOk="0" h="120000" w="120000">
                                  <a:moveTo>
                                    <a:pt x="120000" y="0"/>
                                  </a:moveTo>
                                  <a:lnTo>
                                    <a:pt x="120000" y="60000"/>
                                  </a:lnTo>
                                  <a:lnTo>
                                    <a:pt x="0" y="60000"/>
                                  </a:lnTo>
                                  <a:lnTo>
                                    <a:pt x="0" y="120000"/>
                                  </a:lnTo>
                                </a:path>
                              </a:pathLst>
                            </a:custGeom>
                            <a:noFill/>
                            <a:ln cap="flat" cmpd="sng" w="12700">
                              <a:solidFill>
                                <a:srgbClr val="487AA8"/>
                              </a:solidFill>
                              <a:prstDash val="solid"/>
                              <a:miter lim="800000"/>
                              <a:headEnd len="sm" w="sm" type="none"/>
                              <a:tailEnd len="sm" w="sm" type="none"/>
                            </a:ln>
                          </wps:spPr>
                          <wps:bodyPr anchorCtr="0" anchor="ctr" bIns="91425" lIns="91425" spcFirstLastPara="1" rIns="91425" wrap="square" tIns="91425">
                            <a:noAutofit/>
                          </wps:bodyPr>
                        </wps:wsp>
                        <wps:wsp>
                          <wps:cNvSpPr/>
                          <wps:cNvPr id="9" name="Shape 9"/>
                          <wps:spPr>
                            <a:xfrm>
                              <a:off x="2273554" y="179151"/>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0" name="Shape 10"/>
                          <wps:spPr>
                            <a:xfrm>
                              <a:off x="2273554" y="179151"/>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What is Anthropology?</w:t>
                                </w:r>
                              </w:p>
                            </w:txbxContent>
                          </wps:txbx>
                          <wps:bodyPr anchorCtr="0" anchor="ctr" bIns="6350" lIns="6350" spcFirstLastPara="1" rIns="6350" wrap="square" tIns="6350">
                            <a:noAutofit/>
                          </wps:bodyPr>
                        </wps:wsp>
                        <wps:wsp>
                          <wps:cNvSpPr/>
                          <wps:cNvPr id="11" name="Shape 11"/>
                          <wps:spPr>
                            <a:xfrm>
                              <a:off x="468" y="846048"/>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2" name="Shape 12"/>
                          <wps:spPr>
                            <a:xfrm>
                              <a:off x="468" y="846048"/>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Holism</w:t>
                                </w:r>
                              </w:p>
                            </w:txbxContent>
                          </wps:txbx>
                          <wps:bodyPr anchorCtr="0" anchor="ctr" bIns="6350" lIns="6350" spcFirstLastPara="1" rIns="6350" wrap="square" tIns="6350">
                            <a:noAutofit/>
                          </wps:bodyPr>
                        </wps:wsp>
                        <wps:wsp>
                          <wps:cNvSpPr/>
                          <wps:cNvPr id="13" name="Shape 13"/>
                          <wps:spPr>
                            <a:xfrm>
                              <a:off x="1137011" y="846048"/>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4" name="Shape 14"/>
                          <wps:spPr>
                            <a:xfrm>
                              <a:off x="1137011" y="846048"/>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Comparison</w:t>
                                </w:r>
                              </w:p>
                            </w:txbxContent>
                          </wps:txbx>
                          <wps:bodyPr anchorCtr="0" anchor="ctr" bIns="6350" lIns="6350" spcFirstLastPara="1" rIns="6350" wrap="square" tIns="6350">
                            <a:noAutofit/>
                          </wps:bodyPr>
                        </wps:wsp>
                        <wps:wsp>
                          <wps:cNvSpPr/>
                          <wps:cNvPr id="15" name="Shape 15"/>
                          <wps:spPr>
                            <a:xfrm>
                              <a:off x="2273554" y="846048"/>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6" name="Shape 16"/>
                          <wps:spPr>
                            <a:xfrm>
                              <a:off x="2273554" y="846048"/>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Dynamism</w:t>
                                </w:r>
                              </w:p>
                            </w:txbxContent>
                          </wps:txbx>
                          <wps:bodyPr anchorCtr="0" anchor="ctr" bIns="6350" lIns="6350" spcFirstLastPara="1" rIns="6350" wrap="square" tIns="6350">
                            <a:noAutofit/>
                          </wps:bodyPr>
                        </wps:wsp>
                        <wps:wsp>
                          <wps:cNvSpPr/>
                          <wps:cNvPr id="17" name="Shape 17"/>
                          <wps:spPr>
                            <a:xfrm>
                              <a:off x="3410096" y="846048"/>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18" name="Shape 18"/>
                          <wps:spPr>
                            <a:xfrm>
                              <a:off x="3410096" y="846048"/>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Fieldwork</w:t>
                                </w:r>
                              </w:p>
                            </w:txbxContent>
                          </wps:txbx>
                          <wps:bodyPr anchorCtr="0" anchor="ctr" bIns="6350" lIns="6350" spcFirstLastPara="1" rIns="6350" wrap="square" tIns="6350">
                            <a:noAutofit/>
                          </wps:bodyPr>
                        </wps:wsp>
                        <wps:wsp>
                          <wps:cNvSpPr/>
                          <wps:cNvPr id="19" name="Shape 19"/>
                          <wps:spPr>
                            <a:xfrm>
                              <a:off x="4546639" y="846048"/>
                              <a:ext cx="939291" cy="469645"/>
                            </a:xfrm>
                            <a:prstGeom prst="rect">
                              <a:avLst/>
                            </a:prstGeom>
                            <a:solidFill>
                              <a:srgbClr val="599BD5"/>
                            </a:solidFill>
                            <a:ln cap="flat" cmpd="sng" w="12700">
                              <a:solidFill>
                                <a:schemeClr val="lt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20" name="Shape 20"/>
                          <wps:spPr>
                            <a:xfrm>
                              <a:off x="4546639" y="846048"/>
                              <a:ext cx="939291" cy="469645"/>
                            </a:xfrm>
                            <a:prstGeom prst="rect">
                              <a:avLst/>
                            </a:prstGeom>
                            <a:noFill/>
                            <a:ln>
                              <a:noFill/>
                            </a:ln>
                          </wps:spPr>
                          <wps:txbx>
                            <w:txbxContent>
                              <w:p w:rsidR="00000000" w:rsidDel="00000000" w:rsidP="00000000" w:rsidRDefault="00000000" w:rsidRPr="00000000">
                                <w:pPr>
                                  <w:spacing w:after="0" w:before="0" w:line="21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A Brief History of Anthropology</w:t>
                                </w:r>
                              </w:p>
                            </w:txbxContent>
                          </wps:txbx>
                          <wps:bodyPr anchorCtr="0" anchor="ctr" bIns="6350" lIns="6350" spcFirstLastPara="1" rIns="6350" wrap="square" tIns="6350">
                            <a:noAutofit/>
                          </wps:bodyPr>
                        </wps:wsp>
                      </wpg:grpSp>
                    </wpg:wgp>
                  </a:graphicData>
                </a:graphic>
              </wp:inline>
            </w:drawing>
          </mc:Choice>
          <mc:Fallback>
            <w:drawing>
              <wp:inline distB="0" distT="0" distL="0" distR="0">
                <wp:extent cx="5486400" cy="1494845"/>
                <wp:effectExtent b="0" l="0" r="0" t="0"/>
                <wp:docPr id="6"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5486400" cy="1494845"/>
                        </a:xfrm>
                        <a:prstGeom prst="rect"/>
                        <a:ln/>
                      </pic:spPr>
                    </pic:pic>
                  </a:graphicData>
                </a:graphic>
              </wp:inline>
            </w:drawing>
          </mc:Fallback>
        </mc:AlternateContent>
      </w:r>
      <w:r w:rsidDel="00000000" w:rsidR="00000000" w:rsidRPr="00000000">
        <w:rPr>
          <w:sz w:val="24"/>
          <w:szCs w:val="24"/>
          <w:rtl w:val="0"/>
        </w:rPr>
        <w:t xml:space="preserve"> </w:t>
      </w:r>
    </w:p>
    <w:p w:rsidR="00000000" w:rsidDel="00000000" w:rsidP="00000000" w:rsidRDefault="00000000" w:rsidRPr="00000000" w14:paraId="00000015">
      <w:pPr>
        <w:rPr/>
      </w:pPr>
      <w:r w:rsidDel="00000000" w:rsidR="00000000" w:rsidRPr="00000000">
        <w:rPr>
          <w:rtl w:val="0"/>
        </w:rPr>
        <w:t xml:space="preserve">An A or B student will notice the heading and subheadings, stop for a few seconds and make decisions about what the major purpose of the overall section and of each subsection is. After deciding on a major purpose, A or B students will ask their own questions to prepare them for reading. There are no right or wrong student questions. In the chart below, you will three columns. In the third column, there is space for you to ask a question you think will likely be answered in the section of the textbook. What you put here will depend on how much you already know about the topic, what your life experiences have been and what you are interested in personally. </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1"/>
        <w:gridCol w:w="2884"/>
        <w:gridCol w:w="4765"/>
        <w:tblGridChange w:id="0">
          <w:tblGrid>
            <w:gridCol w:w="1701"/>
            <w:gridCol w:w="2884"/>
            <w:gridCol w:w="4765"/>
          </w:tblGrid>
        </w:tblGridChange>
      </w:tblGrid>
      <w:tr>
        <w:tc>
          <w:tcPr/>
          <w:p w:rsidR="00000000" w:rsidDel="00000000" w:rsidP="00000000" w:rsidRDefault="00000000" w:rsidRPr="00000000" w14:paraId="00000016">
            <w:pPr>
              <w:jc w:val="center"/>
              <w:rPr>
                <w:b w:val="1"/>
              </w:rPr>
            </w:pPr>
            <w:r w:rsidDel="00000000" w:rsidR="00000000" w:rsidRPr="00000000">
              <w:rPr>
                <w:b w:val="1"/>
                <w:rtl w:val="0"/>
              </w:rPr>
              <w:t xml:space="preserve">Heading or subheading</w:t>
            </w:r>
          </w:p>
        </w:tc>
        <w:tc>
          <w:tcPr/>
          <w:p w:rsidR="00000000" w:rsidDel="00000000" w:rsidP="00000000" w:rsidRDefault="00000000" w:rsidRPr="00000000" w14:paraId="00000017">
            <w:pPr>
              <w:jc w:val="center"/>
              <w:rPr>
                <w:b w:val="1"/>
              </w:rPr>
            </w:pPr>
            <w:r w:rsidDel="00000000" w:rsidR="00000000" w:rsidRPr="00000000">
              <w:rPr>
                <w:b w:val="1"/>
                <w:rtl w:val="0"/>
              </w:rPr>
              <w:t xml:space="preserve">Possible purposes from list above</w:t>
            </w:r>
          </w:p>
        </w:tc>
        <w:tc>
          <w:tcPr/>
          <w:p w:rsidR="00000000" w:rsidDel="00000000" w:rsidP="00000000" w:rsidRDefault="00000000" w:rsidRPr="00000000" w14:paraId="00000018">
            <w:pPr>
              <w:jc w:val="center"/>
              <w:rPr>
                <w:b w:val="1"/>
              </w:rPr>
            </w:pPr>
            <w:r w:rsidDel="00000000" w:rsidR="00000000" w:rsidRPr="00000000">
              <w:rPr>
                <w:b w:val="1"/>
                <w:rtl w:val="0"/>
              </w:rPr>
              <w:t xml:space="preserve">Possible questions a Student Might Ask</w:t>
            </w:r>
          </w:p>
        </w:tc>
      </w:tr>
      <w:tr>
        <w:tc>
          <w:tcPr/>
          <w:p w:rsidR="00000000" w:rsidDel="00000000" w:rsidP="00000000" w:rsidRDefault="00000000" w:rsidRPr="00000000" w14:paraId="00000019">
            <w:pPr>
              <w:rPr>
                <w:b w:val="1"/>
              </w:rPr>
            </w:pPr>
            <w:r w:rsidDel="00000000" w:rsidR="00000000" w:rsidRPr="00000000">
              <w:rPr>
                <w:b w:val="1"/>
                <w:rtl w:val="0"/>
              </w:rPr>
              <w:t xml:space="preserve">What Is Anthropology?</w:t>
            </w:r>
          </w:p>
        </w:tc>
        <w:tc>
          <w:tcPr/>
          <w:p w:rsidR="00000000" w:rsidDel="00000000" w:rsidP="00000000" w:rsidRDefault="00000000" w:rsidRPr="00000000" w14:paraId="0000001A">
            <w:pPr>
              <w:rPr/>
            </w:pPr>
            <w:r w:rsidDel="00000000" w:rsidR="00000000" w:rsidRPr="00000000">
              <w:rPr>
                <w:rtl w:val="0"/>
              </w:rPr>
              <w:t xml:space="preserve">To define a concept or an idea</w:t>
            </w:r>
          </w:p>
          <w:p w:rsidR="00000000" w:rsidDel="00000000" w:rsidP="00000000" w:rsidRDefault="00000000" w:rsidRPr="00000000" w14:paraId="0000001B">
            <w:pPr>
              <w:rPr/>
            </w:pPr>
            <w:r w:rsidDel="00000000" w:rsidR="00000000" w:rsidRPr="00000000">
              <w:rPr>
                <w:rtl w:val="0"/>
              </w:rPr>
              <w:t xml:space="preserve">To explain or demonstrate why something or someone is important</w:t>
            </w:r>
          </w:p>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rPr/>
            </w:pPr>
            <w:r w:rsidDel="00000000" w:rsidR="00000000" w:rsidRPr="00000000">
              <w:rPr>
                <w:rtl w:val="0"/>
              </w:rPr>
              <w:t xml:space="preserve">How might Anthropology relate to my major?</w:t>
            </w:r>
          </w:p>
        </w:tc>
      </w:tr>
      <w:tr>
        <w:tc>
          <w:tcPr/>
          <w:p w:rsidR="00000000" w:rsidDel="00000000" w:rsidP="00000000" w:rsidRDefault="00000000" w:rsidRPr="00000000" w14:paraId="0000001E">
            <w:pPr>
              <w:rPr/>
            </w:pPr>
            <w:r w:rsidDel="00000000" w:rsidR="00000000" w:rsidRPr="00000000">
              <w:rPr>
                <w:rtl w:val="0"/>
              </w:rPr>
              <w:t xml:space="preserve">Holism</w:t>
            </w:r>
          </w:p>
        </w:tc>
        <w:tc>
          <w:tcPr/>
          <w:p w:rsidR="00000000" w:rsidDel="00000000" w:rsidP="00000000" w:rsidRDefault="00000000" w:rsidRPr="00000000" w14:paraId="0000001F">
            <w:pPr>
              <w:rPr/>
            </w:pPr>
            <w:r w:rsidDel="00000000" w:rsidR="00000000" w:rsidRPr="00000000">
              <w:rPr>
                <w:rtl w:val="0"/>
              </w:rPr>
              <w:t xml:space="preserve">To define a concept or an idea</w:t>
            </w:r>
          </w:p>
        </w:tc>
        <w:tc>
          <w:tcPr/>
          <w:p w:rsidR="00000000" w:rsidDel="00000000" w:rsidP="00000000" w:rsidRDefault="00000000" w:rsidRPr="00000000" w14:paraId="00000020">
            <w:pPr>
              <w:rPr/>
            </w:pPr>
            <w:r w:rsidDel="00000000" w:rsidR="00000000" w:rsidRPr="00000000">
              <w:rPr>
                <w:rtl w:val="0"/>
              </w:rPr>
              <w:t xml:space="preserve">I know the term “holistic” means “whole,” so will this section talk about how anthropology studies all aspects of human life? Like physical, spiritual, and emotional well-being? As I see the graphic with the man surrounded by all of those symbols—music, pottery, DNA, etc. I wonder if I am right.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What does holism have to do with anthropology?</w:t>
            </w:r>
          </w:p>
          <w:p w:rsidR="00000000" w:rsidDel="00000000" w:rsidP="00000000" w:rsidRDefault="00000000" w:rsidRPr="00000000" w14:paraId="00000023">
            <w:pPr>
              <w:rPr/>
            </w:pPr>
            <w:r w:rsidDel="00000000" w:rsidR="00000000" w:rsidRPr="00000000">
              <w:rPr>
                <w:rtl w:val="0"/>
              </w:rPr>
            </w:r>
          </w:p>
        </w:tc>
      </w:tr>
      <w:tr>
        <w:tc>
          <w:tcPr/>
          <w:p w:rsidR="00000000" w:rsidDel="00000000" w:rsidP="00000000" w:rsidRDefault="00000000" w:rsidRPr="00000000" w14:paraId="00000024">
            <w:pPr>
              <w:rPr/>
            </w:pPr>
            <w:r w:rsidDel="00000000" w:rsidR="00000000" w:rsidRPr="00000000">
              <w:rPr>
                <w:rtl w:val="0"/>
              </w:rPr>
              <w:t xml:space="preserve">Comparison</w:t>
            </w:r>
          </w:p>
        </w:tc>
        <w:tc>
          <w:tcPr/>
          <w:p w:rsidR="00000000" w:rsidDel="00000000" w:rsidP="00000000" w:rsidRDefault="00000000" w:rsidRPr="00000000" w14:paraId="00000025">
            <w:pPr>
              <w:rPr/>
            </w:pPr>
            <w:r w:rsidDel="00000000" w:rsidR="00000000" w:rsidRPr="00000000">
              <w:rPr>
                <w:rtl w:val="0"/>
              </w:rPr>
              <w:t xml:space="preserve">To define a concept or an idea</w:t>
            </w:r>
          </w:p>
        </w:tc>
        <w:tc>
          <w:tcPr/>
          <w:p w:rsidR="00000000" w:rsidDel="00000000" w:rsidP="00000000" w:rsidRDefault="00000000" w:rsidRPr="00000000" w14:paraId="00000026">
            <w:pPr>
              <w:rPr/>
            </w:pPr>
            <w:r w:rsidDel="00000000" w:rsidR="00000000" w:rsidRPr="00000000">
              <w:rPr>
                <w:rtl w:val="0"/>
              </w:rPr>
              <w:t xml:space="preserve">Since people are so different, I wonder if one purpose of Anthro is to look at how people are similar and different around the world. Or even how different groups of people will react differently to the same situation. </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Why is comparison important to anthropology?</w:t>
            </w:r>
          </w:p>
          <w:p w:rsidR="00000000" w:rsidDel="00000000" w:rsidP="00000000" w:rsidRDefault="00000000" w:rsidRPr="00000000" w14:paraId="00000029">
            <w:pPr>
              <w:rPr/>
            </w:pPr>
            <w:r w:rsidDel="00000000" w:rsidR="00000000" w:rsidRPr="00000000">
              <w:rPr>
                <w:rtl w:val="0"/>
              </w:rPr>
            </w:r>
          </w:p>
        </w:tc>
      </w:tr>
      <w:tr>
        <w:tc>
          <w:tcPr/>
          <w:p w:rsidR="00000000" w:rsidDel="00000000" w:rsidP="00000000" w:rsidRDefault="00000000" w:rsidRPr="00000000" w14:paraId="0000002A">
            <w:pPr>
              <w:rPr/>
            </w:pPr>
            <w:r w:rsidDel="00000000" w:rsidR="00000000" w:rsidRPr="00000000">
              <w:rPr>
                <w:rtl w:val="0"/>
              </w:rPr>
              <w:t xml:space="preserve">Dynamism</w:t>
            </w:r>
          </w:p>
        </w:tc>
        <w:tc>
          <w:tcPr/>
          <w:p w:rsidR="00000000" w:rsidDel="00000000" w:rsidP="00000000" w:rsidRDefault="00000000" w:rsidRPr="00000000" w14:paraId="0000002B">
            <w:pPr>
              <w:rPr/>
            </w:pPr>
            <w:r w:rsidDel="00000000" w:rsidR="00000000" w:rsidRPr="00000000">
              <w:rPr>
                <w:rtl w:val="0"/>
              </w:rPr>
              <w:t xml:space="preserve">To define a concept or an idea</w:t>
            </w:r>
          </w:p>
        </w:tc>
        <w:tc>
          <w:tcPr/>
          <w:p w:rsidR="00000000" w:rsidDel="00000000" w:rsidP="00000000" w:rsidRDefault="00000000" w:rsidRPr="00000000" w14:paraId="0000002C">
            <w:pPr>
              <w:rPr/>
            </w:pPr>
            <w:r w:rsidDel="00000000" w:rsidR="00000000" w:rsidRPr="00000000">
              <w:rPr>
                <w:rtl w:val="0"/>
              </w:rPr>
              <w:t xml:space="preserve">I know “dynamic” means something can change, so I wonder if anthropology has had to change as more information becomes available and as society changes.</w:t>
            </w:r>
          </w:p>
          <w:p w:rsidR="00000000" w:rsidDel="00000000" w:rsidP="00000000" w:rsidRDefault="00000000" w:rsidRPr="00000000" w14:paraId="0000002D">
            <w:pPr>
              <w:rPr/>
            </w:pPr>
            <w:r w:rsidDel="00000000" w:rsidR="00000000" w:rsidRPr="00000000">
              <w:rPr>
                <w:rtl w:val="0"/>
              </w:rPr>
              <w:t xml:space="preserve">What does dynamism have to do with anthropology?</w:t>
            </w:r>
          </w:p>
          <w:p w:rsidR="00000000" w:rsidDel="00000000" w:rsidP="00000000" w:rsidRDefault="00000000" w:rsidRPr="00000000" w14:paraId="0000002E">
            <w:pPr>
              <w:rPr/>
            </w:pPr>
            <w:r w:rsidDel="00000000" w:rsidR="00000000" w:rsidRPr="00000000">
              <w:rPr>
                <w:rtl w:val="0"/>
              </w:rPr>
            </w:r>
          </w:p>
        </w:tc>
      </w:tr>
      <w:tr>
        <w:tc>
          <w:tcPr/>
          <w:p w:rsidR="00000000" w:rsidDel="00000000" w:rsidP="00000000" w:rsidRDefault="00000000" w:rsidRPr="00000000" w14:paraId="0000002F">
            <w:pPr>
              <w:rPr/>
            </w:pPr>
            <w:r w:rsidDel="00000000" w:rsidR="00000000" w:rsidRPr="00000000">
              <w:rPr>
                <w:rtl w:val="0"/>
              </w:rPr>
              <w:t xml:space="preserve">Fieldwork</w:t>
            </w:r>
          </w:p>
        </w:tc>
        <w:tc>
          <w:tcPr/>
          <w:p w:rsidR="00000000" w:rsidDel="00000000" w:rsidP="00000000" w:rsidRDefault="00000000" w:rsidRPr="00000000" w14:paraId="00000030">
            <w:pPr>
              <w:rPr/>
            </w:pPr>
            <w:r w:rsidDel="00000000" w:rsidR="00000000" w:rsidRPr="00000000">
              <w:rPr>
                <w:rtl w:val="0"/>
              </w:rPr>
              <w:t xml:space="preserve">To define a concept or an idea</w:t>
            </w:r>
          </w:p>
        </w:tc>
        <w:tc>
          <w:tcPr/>
          <w:p w:rsidR="00000000" w:rsidDel="00000000" w:rsidP="00000000" w:rsidRDefault="00000000" w:rsidRPr="00000000" w14:paraId="00000031">
            <w:pPr>
              <w:rPr/>
            </w:pPr>
            <w:r w:rsidDel="00000000" w:rsidR="00000000" w:rsidRPr="00000000">
              <w:rPr>
                <w:rtl w:val="0"/>
              </w:rPr>
              <w:t xml:space="preserve">I assume “fieldwork” means that anthropologists go out to study “real” people in real situations.</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Where might an anthropologist go to do fieldwork?</w:t>
            </w:r>
          </w:p>
          <w:p w:rsidR="00000000" w:rsidDel="00000000" w:rsidP="00000000" w:rsidRDefault="00000000" w:rsidRPr="00000000" w14:paraId="00000034">
            <w:pPr>
              <w:rPr/>
            </w:pPr>
            <w:r w:rsidDel="00000000" w:rsidR="00000000" w:rsidRPr="00000000">
              <w:rPr>
                <w:rtl w:val="0"/>
              </w:rPr>
            </w:r>
          </w:p>
        </w:tc>
      </w:tr>
      <w:tr>
        <w:tc>
          <w:tcPr/>
          <w:p w:rsidR="00000000" w:rsidDel="00000000" w:rsidP="00000000" w:rsidRDefault="00000000" w:rsidRPr="00000000" w14:paraId="00000035">
            <w:pPr>
              <w:rPr/>
            </w:pPr>
            <w:r w:rsidDel="00000000" w:rsidR="00000000" w:rsidRPr="00000000">
              <w:rPr>
                <w:rtl w:val="0"/>
              </w:rPr>
              <w:t xml:space="preserve">A Brief History of Anthropology</w:t>
            </w:r>
          </w:p>
        </w:tc>
        <w:tc>
          <w:tcPr/>
          <w:p w:rsidR="00000000" w:rsidDel="00000000" w:rsidP="00000000" w:rsidRDefault="00000000" w:rsidRPr="00000000" w14:paraId="00000036">
            <w:pPr>
              <w:rPr/>
            </w:pPr>
            <w:r w:rsidDel="00000000" w:rsidR="00000000" w:rsidRPr="00000000">
              <w:rPr>
                <w:rtl w:val="0"/>
              </w:rPr>
              <w:t xml:space="preserve">To provide a timeline of events that led up to something important (i.e. a war, the extinction of a species, a natural or man-made disaster, the discovery of something new, etc.)</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To define a concept or an idea</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To explain or demonstrate why something or someone is important</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tc>
        <w:tc>
          <w:tcPr/>
          <w:p w:rsidR="00000000" w:rsidDel="00000000" w:rsidP="00000000" w:rsidRDefault="00000000" w:rsidRPr="00000000" w14:paraId="0000003D">
            <w:pPr>
              <w:rPr/>
            </w:pPr>
            <w:r w:rsidDel="00000000" w:rsidR="00000000" w:rsidRPr="00000000">
              <w:rPr>
                <w:rtl w:val="0"/>
              </w:rPr>
              <w:t xml:space="preserve">In this section I assume I will read about early anthropologists. I may learn where anthropology started and what people were important as it began. I may also learn about early definitions of anthropology and how it has changed over the years. </w:t>
            </w:r>
          </w:p>
        </w:tc>
      </w:tr>
    </w:tbl>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i w:val="1"/>
        </w:rPr>
      </w:pPr>
      <w:r w:rsidDel="00000000" w:rsidR="00000000" w:rsidRPr="00000000">
        <w:rPr>
          <w:i w:val="1"/>
          <w:rtl w:val="0"/>
        </w:rPr>
        <w:t xml:space="preserve">Using the Matrix Notes</w:t>
      </w:r>
    </w:p>
    <w:p w:rsidR="00000000" w:rsidDel="00000000" w:rsidP="00000000" w:rsidRDefault="00000000" w:rsidRPr="00000000" w14:paraId="00000040">
      <w:pPr>
        <w:rPr/>
      </w:pPr>
      <w:r w:rsidDel="00000000" w:rsidR="00000000" w:rsidRPr="00000000">
        <w:rPr>
          <w:rtl w:val="0"/>
        </w:rPr>
        <w:t xml:space="preserve">If you look at your matrix notes, you will see that the far left column is called “Structure” and in that column you will see all of the headings and subheadings listed in the order in which they appear in the chapter. Note that Headings are in all capital letters and the subheadings are in regular type, and right justified in the column.</w:t>
      </w:r>
    </w:p>
    <w:p w:rsidR="00000000" w:rsidDel="00000000" w:rsidP="00000000" w:rsidRDefault="00000000" w:rsidRPr="00000000" w14:paraId="00000041">
      <w:pPr>
        <w:rPr/>
      </w:pPr>
      <w:r w:rsidDel="00000000" w:rsidR="00000000" w:rsidRPr="00000000">
        <w:rPr>
          <w:rtl w:val="0"/>
        </w:rPr>
        <w:t xml:space="preserve">In the white space beneath each heading or subheading is a place to write down each section’s purpose and your own questions about the chapter section. If you prefer to use your own notebook, you can simply copy down each heading or subheading—just make it clear in your own way what subheadings go with each heading. You can make your purpose and personal questions under each heading. Since you are the only one seeing these notes, feel free to abbreviate. You can either preview the entire chapter at once or do a section at a time. It is up to you.</w:t>
      </w:r>
    </w:p>
    <w:p w:rsidR="00000000" w:rsidDel="00000000" w:rsidP="00000000" w:rsidRDefault="00000000" w:rsidRPr="00000000" w14:paraId="00000042">
      <w:pPr>
        <w:rPr>
          <w:b w:val="1"/>
        </w:rPr>
      </w:pPr>
      <w:r w:rsidDel="00000000" w:rsidR="00000000" w:rsidRPr="00000000">
        <w:rPr>
          <w:b w:val="1"/>
          <w:rtl w:val="0"/>
        </w:rPr>
        <w:t xml:space="preserve">Step 2: Noticing Terms: the “Chocolate Chips”</w:t>
      </w:r>
    </w:p>
    <w:p w:rsidR="00000000" w:rsidDel="00000000" w:rsidP="00000000" w:rsidRDefault="00000000" w:rsidRPr="00000000" w14:paraId="00000043">
      <w:pPr>
        <w:rPr/>
      </w:pPr>
      <w:r w:rsidDel="00000000" w:rsidR="00000000" w:rsidRPr="00000000">
        <w:rPr>
          <w:rtl w:val="0"/>
        </w:rPr>
        <w:t xml:space="preserve">When you make chocolate chip cookies, it is important to realize that the chocolate chips are the only ingredient a baker can leave out and still have perfectly good cookies—although they won’t be chocolate chip. Bakers cannot leave out flour, butter, or baking soda and have a cookie that looks and acts like a cookie. Even though that is true, bakers (and everyone else) act like the chocolate chips are the most important ingredient—after all, we name the cookie after them and notice them first when we look at the cookies.</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3617</wp:posOffset>
            </wp:positionV>
            <wp:extent cx="1486535" cy="978010"/>
            <wp:effectExtent b="0" l="0" r="0" t="0"/>
            <wp:wrapSquare wrapText="bothSides" distB="0" distT="0" distL="114300" distR="114300"/>
            <wp:docPr id="8"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1486535" cy="978010"/>
                    </a:xfrm>
                    <a:prstGeom prst="rect"/>
                    <a:ln/>
                  </pic:spPr>
                </pic:pic>
              </a:graphicData>
            </a:graphic>
          </wp:anchor>
        </w:drawing>
      </w:r>
    </w:p>
    <w:p w:rsidR="00000000" w:rsidDel="00000000" w:rsidP="00000000" w:rsidRDefault="00000000" w:rsidRPr="00000000" w14:paraId="00000044">
      <w:pPr>
        <w:rPr/>
      </w:pPr>
      <w:r w:rsidDel="00000000" w:rsidR="00000000" w:rsidRPr="00000000">
        <w:rPr>
          <w:rtl w:val="0"/>
        </w:rPr>
        <w:t xml:space="preserve">The terms in your chapter are like chocolate chips. They are usually bold, so they stand out and catch our eye first. They are also like chocolate chips because students often think they are the most important “ingredient” in a chapter. Studies have shown that students who earn lower grades on exams spend much of their study time memorizing terms and definitions. As a matter of fact, their notebooks are among the neatest notebooks in town. They carefully copy each term and definition. Students who earn higher grades focus more on how the chapter is structured, and what its purpose is. They see the terms as tools that will help them understand concepts, as opposed to the reason they are reading. This is an important difference in thinking. The notebooks of A and B students tend to be messy (and not just because of sloppy writing). A and B students draw arrows to show connections, use graphics to help them remember, use abbreviations so they can write faster and put things in their own words.</w:t>
      </w:r>
    </w:p>
    <w:p w:rsidR="00000000" w:rsidDel="00000000" w:rsidP="00000000" w:rsidRDefault="00000000" w:rsidRPr="00000000" w14:paraId="00000045">
      <w:pPr>
        <w:rPr>
          <w:i w:val="1"/>
        </w:rPr>
      </w:pPr>
      <w:r w:rsidDel="00000000" w:rsidR="00000000" w:rsidRPr="00000000">
        <w:rPr>
          <w:i w:val="1"/>
          <w:rtl w:val="0"/>
        </w:rPr>
        <w:t xml:space="preserve">Using the Matrix Notes</w:t>
      </w:r>
    </w:p>
    <w:p w:rsidR="00000000" w:rsidDel="00000000" w:rsidP="00000000" w:rsidRDefault="00000000" w:rsidRPr="00000000" w14:paraId="00000046">
      <w:pPr>
        <w:rPr/>
      </w:pPr>
      <w:r w:rsidDel="00000000" w:rsidR="00000000" w:rsidRPr="00000000">
        <w:rPr>
          <w:rtl w:val="0"/>
        </w:rPr>
        <w:t xml:space="preserve">The middle column of your matrix notes is devoted to terms. In the white space in the column is space you can use to copy the definition from the book into your column. You can also use the glossaries at the end of each chapter to help you with definitions. </w:t>
      </w:r>
    </w:p>
    <w:p w:rsidR="00000000" w:rsidDel="00000000" w:rsidP="00000000" w:rsidRDefault="00000000" w:rsidRPr="00000000" w14:paraId="00000047">
      <w:pPr>
        <w:rPr/>
      </w:pPr>
      <w:r w:rsidDel="00000000" w:rsidR="00000000" w:rsidRPr="00000000">
        <w:rPr>
          <w:rtl w:val="0"/>
        </w:rPr>
        <w:t xml:space="preserve">As you study, you can either copy the definitions in BEFORE you read, or you can read the section and copy down the definitions as you come to them. Try both ways and see what you like better. Copying down the terms before reading has an advantage: you already have some idea why that terms is important before you read. Copying it down as you go has an advantage, too: by the time you get to the word, you might be able to define it using your own words. When you can define something in your own words instead of just copying, you remember better. There isn’t a right or wrong here—experiment to see what you prefer and what you thinks helps you remember the most.</w:t>
      </w:r>
    </w:p>
    <w:p w:rsidR="00000000" w:rsidDel="00000000" w:rsidP="00000000" w:rsidRDefault="00000000" w:rsidRPr="00000000" w14:paraId="00000048">
      <w:pPr>
        <w:rPr/>
      </w:pPr>
      <w:r w:rsidDel="00000000" w:rsidR="00000000" w:rsidRPr="00000000">
        <w:rPr>
          <w:rtl w:val="0"/>
        </w:rPr>
        <w:t xml:space="preserve">Many students make the mistake of reading FOR the terms. In other words, they think the purpose of reading is to learn and memorize terms. However, you learn terms so you can understand important concepts. </w:t>
      </w:r>
    </w:p>
    <w:p w:rsidR="00000000" w:rsidDel="00000000" w:rsidP="00000000" w:rsidRDefault="00000000" w:rsidRPr="00000000" w14:paraId="00000049">
      <w:pPr>
        <w:rPr>
          <w:b w:val="1"/>
        </w:rPr>
      </w:pPr>
      <w:r w:rsidDel="00000000" w:rsidR="00000000" w:rsidRPr="00000000">
        <w:rPr>
          <w:rtl w:val="0"/>
        </w:rPr>
      </w:r>
    </w:p>
    <w:p w:rsidR="00000000" w:rsidDel="00000000" w:rsidP="00000000" w:rsidRDefault="00000000" w:rsidRPr="00000000" w14:paraId="0000004A">
      <w:pPr>
        <w:rPr>
          <w:b w:val="1"/>
        </w:rPr>
      </w:pPr>
      <w:r w:rsidDel="00000000" w:rsidR="00000000" w:rsidRPr="00000000">
        <w:rPr>
          <w:rtl w:val="0"/>
        </w:rPr>
      </w:r>
    </w:p>
    <w:p w:rsidR="00000000" w:rsidDel="00000000" w:rsidP="00000000" w:rsidRDefault="00000000" w:rsidRPr="00000000" w14:paraId="0000004B">
      <w:pPr>
        <w:rPr>
          <w:b w:val="1"/>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b w:val="1"/>
          <w:rtl w:val="0"/>
        </w:rPr>
        <w:t xml:space="preserve">Step 3: Adding flavor</w:t>
      </w:r>
    </w:p>
    <w:p w:rsidR="00000000" w:rsidDel="00000000" w:rsidP="00000000" w:rsidRDefault="00000000" w:rsidRPr="00000000" w14:paraId="0000004E">
      <w:pPr>
        <w:rPr/>
      </w:pPr>
      <w:r w:rsidDel="00000000" w:rsidR="00000000" w:rsidRPr="00000000">
        <w:rPr>
          <w:rtl w:val="0"/>
        </w:rPr>
        <w:t xml:space="preserve">If you bake, you have noticed something. You put the dry ingredients in the bowl and mix it. Next, you get out eggs, butter, vanilla, milk or whatever your recipe calls for. You blend those wet ingredients into the dry ones and suddenly roommates and family members (and maybe even you!) want the dough. The wet ingredients add the flavor that makes eating cookies such a pleasure. If you don’t move fast, the dough might disappear before you can bake the cookies.</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-1241</wp:posOffset>
            </wp:positionV>
            <wp:extent cx="2639695" cy="2083241"/>
            <wp:effectExtent b="0" l="0" r="0" t="0"/>
            <wp:wrapSquare wrapText="bothSides" distB="0" distT="0" distL="114300" distR="114300"/>
            <wp:docPr id="10"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2639695" cy="2083241"/>
                    </a:xfrm>
                    <a:prstGeom prst="rect"/>
                    <a:ln/>
                  </pic:spPr>
                </pic:pic>
              </a:graphicData>
            </a:graphic>
          </wp:anchor>
        </w:drawing>
      </w:r>
    </w:p>
    <w:p w:rsidR="00000000" w:rsidDel="00000000" w:rsidP="00000000" w:rsidRDefault="00000000" w:rsidRPr="00000000" w14:paraId="0000004F">
      <w:pPr>
        <w:rPr/>
      </w:pPr>
      <w:r w:rsidDel="00000000" w:rsidR="00000000" w:rsidRPr="00000000">
        <w:rPr>
          <w:rtl w:val="0"/>
        </w:rPr>
        <w:t xml:space="preserve">The concepts you learn when you read are like the wet ingredients. They are the reason you read. They are what can make learning such a pleasure. They are also what you will be tested on. Rarely will college instructors ask a test question like, “What is the correct definition of ‘holism?’” and give you options to pick from, one of which would be the correct answer: “The idea that the parts of a system interconnect and interact to make up the whole.” (This definition is from the glossary on page 22)</w:t>
      </w:r>
    </w:p>
    <w:p w:rsidR="00000000" w:rsidDel="00000000" w:rsidP="00000000" w:rsidRDefault="00000000" w:rsidRPr="00000000" w14:paraId="00000050">
      <w:pPr>
        <w:rPr/>
      </w:pPr>
      <w:r w:rsidDel="00000000" w:rsidR="00000000" w:rsidRPr="00000000">
        <w:rPr>
          <w:rtl w:val="0"/>
        </w:rPr>
        <w:t xml:space="preserve">Instead, instructors ask a question like, “Why is holism an important concept in the study of anthropology?” You can memorize the above definition all day long and it won’t prepare you to answer that college-level question.</w:t>
      </w:r>
    </w:p>
    <w:p w:rsidR="00000000" w:rsidDel="00000000" w:rsidP="00000000" w:rsidRDefault="00000000" w:rsidRPr="00000000" w14:paraId="00000051">
      <w:pPr>
        <w:rPr/>
      </w:pPr>
      <w:r w:rsidDel="00000000" w:rsidR="00000000" w:rsidRPr="00000000">
        <w:rPr>
          <w:rtl w:val="0"/>
        </w:rPr>
        <w:t xml:space="preserve">How do you prepare for college-level questions? There are people who have studied that very question and here is their best advice:</w:t>
      </w:r>
    </w:p>
    <w:p w:rsidR="00000000" w:rsidDel="00000000" w:rsidP="00000000" w:rsidRDefault="00000000" w:rsidRPr="00000000" w14:paraId="0000005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Summarize in your own words—College-level textbooks have concepts that are new to you. Because of that, it can be difficult to summarize paragraphs or sections of your textbook since you may wonder if your summaries are correct. Even though it is difficult, give yourself permission to make mistakes and work as hard as you can at summarizing major concepts in your own words. Highlighting concepts out of the book if often not adequate. After all, if you highlight important ideas, you have shown you can identify and highlight important ideas— not that you understand them or could answer a test questions over them. </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Look for relationships between terms within a section, ideas within a section and ideas from section to section. Cookies are a relationship between ingredients you mix to make the dough. Your chapter is a series of ideas (ingredients) that, when mixed together, make a whole. Here is an example: In the section called “holism” on page 2, you will see the term “subdiscipline.” What do subdisciplines have to do with holism?  How is the concept “Holism” similar or different from the concept of “Comparison?” (the concept that follows “holism”)? What does “holism” and “subdisciplines” have to do with Anthropology?</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Notice the types of information in your chapter sections. Each ingredient in cookies has a role: flour provides structure, soda makes the cookies rise, eggs bind the dough together, vanillas adds flavor. Sentences in your textbook also have roles. They include:</w:t>
      </w:r>
    </w:p>
    <w:p w:rsidR="00000000" w:rsidDel="00000000" w:rsidP="00000000" w:rsidRDefault="00000000" w:rsidRPr="00000000" w14:paraId="0000005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Providing structure: These sentences tell you what you will learn, or should have learned in a paragraph or chapter section. These sentences might be the beginning or the end of a section.  There are hundreds of structure sentences, but here are some examples</w:t>
      </w:r>
    </w:p>
    <w:p w:rsidR="00000000" w:rsidDel="00000000" w:rsidP="00000000" w:rsidRDefault="00000000" w:rsidRPr="00000000" w14:paraId="0000005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“There are three reasons why ABC is important.” </w:t>
      </w:r>
    </w:p>
    <w:p w:rsidR="00000000" w:rsidDel="00000000" w:rsidP="00000000" w:rsidRDefault="00000000" w:rsidRPr="00000000" w14:paraId="0000005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the end of this chapter, you will be able to  . . . .” </w:t>
      </w:r>
    </w:p>
    <w:p w:rsidR="00000000" w:rsidDel="00000000" w:rsidP="00000000" w:rsidRDefault="00000000" w:rsidRPr="00000000" w14:paraId="0000005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are several possible explanation why XYZ happened.”</w:t>
      </w:r>
    </w:p>
    <w:p w:rsidR="00000000" w:rsidDel="00000000" w:rsidP="00000000" w:rsidRDefault="00000000" w:rsidRPr="00000000" w14:paraId="0000005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Defining and/or explaining: Some sentences are largely designed to define or explain a concept.</w:t>
      </w:r>
    </w:p>
    <w:p w:rsidR="00000000" w:rsidDel="00000000" w:rsidP="00000000" w:rsidRDefault="00000000" w:rsidRPr="00000000" w14:paraId="0000005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Providing examples: Some sentences give examples that will help you “picture” how something works.</w:t>
      </w:r>
    </w:p>
    <w:p w:rsidR="00000000" w:rsidDel="00000000" w:rsidP="00000000" w:rsidRDefault="00000000" w:rsidRPr="00000000" w14:paraId="0000005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Comparing or contrasting; Some sentences are there to help you understand how ideas, people etc. are similar or different.</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144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0">
      <w:pPr>
        <w:rPr>
          <w:i w:val="1"/>
        </w:rPr>
      </w:pPr>
      <w:r w:rsidDel="00000000" w:rsidR="00000000" w:rsidRPr="00000000">
        <w:rPr>
          <w:i w:val="1"/>
          <w:rtl w:val="0"/>
        </w:rPr>
        <w:t xml:space="preserve">Using the Matrix Notes</w:t>
      </w:r>
    </w:p>
    <w:p w:rsidR="00000000" w:rsidDel="00000000" w:rsidP="00000000" w:rsidRDefault="00000000" w:rsidRPr="00000000" w14:paraId="00000061">
      <w:pPr>
        <w:rPr/>
      </w:pPr>
      <w:r w:rsidDel="00000000" w:rsidR="00000000" w:rsidRPr="00000000">
        <w:rPr>
          <w:rtl w:val="0"/>
        </w:rPr>
        <w:t xml:space="preserve">The third column in your matrix notes is called “concepts” and it asks questions that cannot be answered with one or two words. Some questions ask you to summarize, others to notice differences between terms, or concepts. Others ask you to apply what you learned in one section to new information in another. </w:t>
      </w:r>
    </w:p>
    <w:p w:rsidR="00000000" w:rsidDel="00000000" w:rsidP="00000000" w:rsidRDefault="00000000" w:rsidRPr="00000000" w14:paraId="00000062">
      <w:pPr>
        <w:rPr/>
      </w:pPr>
      <w:r w:rsidDel="00000000" w:rsidR="00000000" w:rsidRPr="00000000">
        <w:rPr>
          <w:rtl w:val="0"/>
        </w:rPr>
        <w:t xml:space="preserve">When you answer these questions, do so in your own words. Copying sections or sentences out of the textbook proves you can copy, not that you understand.</w:t>
      </w:r>
    </w:p>
    <w:p w:rsidR="00000000" w:rsidDel="00000000" w:rsidP="00000000" w:rsidRDefault="00000000" w:rsidRPr="00000000" w14:paraId="00000063">
      <w:pPr>
        <w:rPr/>
      </w:pPr>
      <w:r w:rsidDel="00000000" w:rsidR="00000000" w:rsidRPr="00000000">
        <w:rPr>
          <w:rtl w:val="0"/>
        </w:rPr>
        <w:t xml:space="preserve">These notes are NOT exams. They don’t need to be perfect, and if you have a hard time answering some of the questions then you have just discovered what you don’t know, and need to ask your instructor or other students in you in person or on-line discussions. Knowing what you don’t know is as important as knowing what you do.</w:t>
      </w:r>
    </w:p>
    <w:p w:rsidR="00000000" w:rsidDel="00000000" w:rsidP="00000000" w:rsidRDefault="00000000" w:rsidRPr="00000000" w14:paraId="00000064">
      <w:pPr>
        <w:rPr/>
      </w:pPr>
      <w:r w:rsidDel="00000000" w:rsidR="00000000" w:rsidRPr="00000000">
        <w:rPr>
          <w:rtl w:val="0"/>
        </w:rPr>
        <w:t xml:space="preserve">You can read an entire section and go back and see which concept questions you can answer, or you can answer questions as you go. Reading first and completing questions after makes it less likely you will “cheat” and copy answers from the book. If you answer questions after you finish the reading, you are more likely to rely on your own memory and put things in your own words. If you find you get stuck, you can always open up the chapter and look to verify that your answer is correct and complete.</w:t>
      </w:r>
    </w:p>
    <w:p w:rsidR="00000000" w:rsidDel="00000000" w:rsidP="00000000" w:rsidRDefault="00000000" w:rsidRPr="00000000" w14:paraId="00000065">
      <w:pPr>
        <w:rPr>
          <w:b w:val="1"/>
        </w:rPr>
      </w:pPr>
      <w:r w:rsidDel="00000000" w:rsidR="00000000" w:rsidRPr="00000000">
        <w:rPr>
          <w:b w:val="1"/>
          <w:rtl w:val="0"/>
        </w:rPr>
        <w:t xml:space="preserve">Part 4: Studying for Exams</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289560</wp:posOffset>
            </wp:positionV>
            <wp:extent cx="2336800" cy="1637665"/>
            <wp:effectExtent b="0" l="0" r="0" t="0"/>
            <wp:wrapSquare wrapText="bothSides" distB="0" distT="0" distL="114300" distR="114300"/>
            <wp:docPr id="9" name="image2.jpg"/>
            <a:graphic>
              <a:graphicData uri="http://schemas.openxmlformats.org/drawingml/2006/picture">
                <pic:pic>
                  <pic:nvPicPr>
                    <pic:cNvPr id="0" name="image2.jpg"/>
                    <pic:cNvPicPr preferRelativeResize="0"/>
                  </pic:nvPicPr>
                  <pic:blipFill>
                    <a:blip r:embed="rId11"/>
                    <a:srcRect b="0" l="0" r="0" t="0"/>
                    <a:stretch>
                      <a:fillRect/>
                    </a:stretch>
                  </pic:blipFill>
                  <pic:spPr>
                    <a:xfrm>
                      <a:off x="0" y="0"/>
                      <a:ext cx="2336800" cy="1637665"/>
                    </a:xfrm>
                    <a:prstGeom prst="rect"/>
                    <a:ln/>
                  </pic:spPr>
                </pic:pic>
              </a:graphicData>
            </a:graphic>
          </wp:anchor>
        </w:drawing>
      </w:r>
    </w:p>
    <w:p w:rsidR="00000000" w:rsidDel="00000000" w:rsidP="00000000" w:rsidRDefault="00000000" w:rsidRPr="00000000" w14:paraId="00000066">
      <w:pPr>
        <w:rPr/>
      </w:pPr>
      <w:r w:rsidDel="00000000" w:rsidR="00000000" w:rsidRPr="00000000">
        <w:rPr>
          <w:rtl w:val="0"/>
        </w:rPr>
        <w:t xml:space="preserve">Taking the notes is valuable, but once you are done with them, now what? Students used matrix notes in one or more of three ways. We didn’t find that one way resulted in higher grads than another.</w:t>
      </w:r>
    </w:p>
    <w:p w:rsidR="00000000" w:rsidDel="00000000" w:rsidP="00000000" w:rsidRDefault="00000000" w:rsidRPr="00000000" w14:paraId="00000067">
      <w:pPr>
        <w:ind w:left="720"/>
        <w:rPr/>
      </w:pPr>
      <w:r w:rsidDel="00000000" w:rsidR="00000000" w:rsidRPr="00000000">
        <w:rPr>
          <w:i w:val="1"/>
          <w:rtl w:val="0"/>
        </w:rPr>
        <w:t xml:space="preserve">Method 1:</w:t>
      </w:r>
      <w:r w:rsidDel="00000000" w:rsidR="00000000" w:rsidRPr="00000000">
        <w:rPr>
          <w:rtl w:val="0"/>
        </w:rPr>
        <w:t xml:space="preserve"> Carefully read the matrix notes BEFORE you read and pay attention to what you will learn. Then, read the chapter and take your own notes. Then, return to the matrix notes to see how many terms you jotted down and how many questions you answered.</w:t>
      </w:r>
    </w:p>
    <w:p w:rsidR="00000000" w:rsidDel="00000000" w:rsidP="00000000" w:rsidRDefault="00000000" w:rsidRPr="00000000" w14:paraId="00000068">
      <w:pPr>
        <w:ind w:left="720"/>
        <w:rPr/>
      </w:pPr>
      <w:r w:rsidDel="00000000" w:rsidR="00000000" w:rsidRPr="00000000">
        <w:rPr>
          <w:i w:val="1"/>
          <w:rtl w:val="0"/>
        </w:rPr>
        <w:t xml:space="preserve">Method 2</w:t>
      </w:r>
      <w:r w:rsidDel="00000000" w:rsidR="00000000" w:rsidRPr="00000000">
        <w:rPr>
          <w:rtl w:val="0"/>
        </w:rPr>
        <w:t xml:space="preserve">: Fill out the matrix notes WHILE you read.</w:t>
      </w:r>
    </w:p>
    <w:p w:rsidR="00000000" w:rsidDel="00000000" w:rsidP="00000000" w:rsidRDefault="00000000" w:rsidRPr="00000000" w14:paraId="00000069">
      <w:pPr>
        <w:ind w:left="720"/>
        <w:rPr/>
      </w:pPr>
      <w:r w:rsidDel="00000000" w:rsidR="00000000" w:rsidRPr="00000000">
        <w:rPr>
          <w:i w:val="1"/>
          <w:rtl w:val="0"/>
        </w:rPr>
        <w:t xml:space="preserve">Method 3:</w:t>
      </w:r>
      <w:r w:rsidDel="00000000" w:rsidR="00000000" w:rsidRPr="00000000">
        <w:rPr>
          <w:rtl w:val="0"/>
        </w:rPr>
        <w:t xml:space="preserve"> Read the chapter, take notes on your own and read the matrix notes AFTER you are done. See how many terms you remember and what questions you can answer using the notes you took on your own. Use the terms and questions on the matrix notes to fill in the gaps.</w:t>
      </w:r>
    </w:p>
    <w:p w:rsidR="00000000" w:rsidDel="00000000" w:rsidP="00000000" w:rsidRDefault="00000000" w:rsidRPr="00000000" w14:paraId="0000006A">
      <w:pPr>
        <w:rPr/>
      </w:pPr>
      <w:r w:rsidDel="00000000" w:rsidR="00000000" w:rsidRPr="00000000">
        <w:rPr>
          <w:rtl w:val="0"/>
        </w:rPr>
        <w:t xml:space="preserve">Some students used all three methods, while others used two, and some one. Experiment for yourself so see what works for you. If you don’t get the grade you want, change your approach.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sectPr>
      <w:footerReference r:id="rId12"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Calibri" w:cs="Calibri" w:eastAsia="Calibri" w:hAnsi="Calibri"/>
        <w:b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i w:val="1"/>
        <w:sz w:val="18"/>
        <w:szCs w:val="18"/>
        <w:rtl w:val="0"/>
      </w:rPr>
      <w:t xml:space="preserve">Matrix Notes Explained by Kathryn Klopfleish is licensed as </w:t>
    </w:r>
    <w:hyperlink r:id="rId1">
      <w:r w:rsidDel="00000000" w:rsidR="00000000" w:rsidRPr="00000000">
        <w:rPr>
          <w:i w:val="1"/>
          <w:color w:val="1155cc"/>
          <w:sz w:val="18"/>
          <w:szCs w:val="18"/>
          <w:u w:val="single"/>
          <w:rtl w:val="0"/>
        </w:rPr>
        <w:t xml:space="preserve">CC-BY</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o"/>
      <w:lvlJc w:val="left"/>
      <w:pPr>
        <w:ind w:left="2160" w:hanging="180"/>
      </w:pPr>
      <w:rPr>
        <w:rFonts w:ascii="Courier New" w:cs="Courier New" w:eastAsia="Courier New" w:hAnsi="Courier New"/>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994965"/>
    <w:pPr>
      <w:ind w:left="720"/>
      <w:contextualSpacing w:val="1"/>
    </w:pPr>
  </w:style>
  <w:style w:type="table" w:styleId="TableGrid">
    <w:name w:val="Table Grid"/>
    <w:basedOn w:val="TableNormal"/>
    <w:uiPriority w:val="39"/>
    <w:rsid w:val="003171C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5A68C6"/>
    <w:pPr>
      <w:tabs>
        <w:tab w:val="center" w:pos="4680"/>
        <w:tab w:val="right" w:pos="9360"/>
      </w:tabs>
      <w:spacing w:after="0" w:line="240" w:lineRule="auto"/>
    </w:pPr>
  </w:style>
  <w:style w:type="character" w:styleId="HeaderChar" w:customStyle="1">
    <w:name w:val="Header Char"/>
    <w:basedOn w:val="DefaultParagraphFont"/>
    <w:link w:val="Header"/>
    <w:uiPriority w:val="99"/>
    <w:rsid w:val="005A68C6"/>
  </w:style>
  <w:style w:type="paragraph" w:styleId="Footer">
    <w:name w:val="footer"/>
    <w:basedOn w:val="Normal"/>
    <w:link w:val="FooterChar"/>
    <w:uiPriority w:val="99"/>
    <w:unhideWhenUsed w:val="1"/>
    <w:rsid w:val="005A68C6"/>
    <w:pPr>
      <w:tabs>
        <w:tab w:val="center" w:pos="4680"/>
        <w:tab w:val="right" w:pos="9360"/>
      </w:tabs>
      <w:spacing w:after="0" w:line="240" w:lineRule="auto"/>
    </w:pPr>
  </w:style>
  <w:style w:type="character" w:styleId="FooterChar" w:customStyle="1">
    <w:name w:val="Footer Char"/>
    <w:basedOn w:val="DefaultParagraphFont"/>
    <w:link w:val="Footer"/>
    <w:uiPriority w:val="99"/>
    <w:rsid w:val="005A68C6"/>
  </w:style>
  <w:style w:type="paragraph" w:styleId="BalloonText">
    <w:name w:val="Balloon Text"/>
    <w:basedOn w:val="Normal"/>
    <w:link w:val="BalloonTextChar"/>
    <w:uiPriority w:val="99"/>
    <w:semiHidden w:val="1"/>
    <w:unhideWhenUsed w:val="1"/>
    <w:rsid w:val="003935E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935E8"/>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jpg"/><Relationship Id="rId10" Type="http://schemas.openxmlformats.org/officeDocument/2006/relationships/image" Target="media/image3.jpg"/><Relationship Id="rId12" Type="http://schemas.openxmlformats.org/officeDocument/2006/relationships/footer" Target="footer1.xml"/><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jylvhkZ7lf+5UBS0hlIPFBDZaw==">AMUW2mXXNRP1DvEROL7yro3MkJRicUkubzGsDUx/5fCJznplRzmNJJ3hOx5tO0WDA5lTjPML8cJ6LBjWzFDSMh1QYtIVjVzgL1dq7JGcRXmwn96PlB5rze1Gr9IjxqwFjuqddbbI126m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2020-02-26T21:12:00Z</dcterms:created>
  <dc:creator>Kathryn Klopfleisch</dc:creator>
</cp:coreProperties>
</file>